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1BB99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РОССИЙСКАЯ ФЕДЕРАЦИЯ </w:t>
      </w:r>
    </w:p>
    <w:p w14:paraId="64D89CAD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БОГОТОЛЬСКИЙ СЕЛЬСКИЙ СОВЕТ ДЕПУТАТОВ</w:t>
      </w:r>
    </w:p>
    <w:p w14:paraId="4AB41DC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БОГОТОЛЬСКОГО РАЙОНА </w:t>
      </w:r>
      <w:r>
        <w:rPr>
          <w:rFonts w:ascii="Arial" w:hAnsi="Arial" w:cs="Arial"/>
          <w:b/>
        </w:rPr>
        <w:br w:type="textWrapping"/>
      </w:r>
      <w:r>
        <w:rPr>
          <w:rFonts w:ascii="Arial" w:hAnsi="Arial" w:cs="Arial"/>
          <w:b/>
        </w:rPr>
        <w:t>КРАСНОЯРСКИЙ КРАЯ</w:t>
      </w:r>
    </w:p>
    <w:p w14:paraId="050919F1">
      <w:pPr>
        <w:jc w:val="center"/>
        <w:rPr>
          <w:rFonts w:ascii="Arial" w:hAnsi="Arial" w:cs="Arial"/>
          <w:b/>
        </w:rPr>
      </w:pPr>
    </w:p>
    <w:p w14:paraId="3D95789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РЕШЕНИЕ</w:t>
      </w:r>
    </w:p>
    <w:p w14:paraId="7B4D492F">
      <w:pPr>
        <w:jc w:val="center"/>
        <w:rPr>
          <w:rFonts w:ascii="Arial" w:hAnsi="Arial" w:cs="Arial"/>
          <w:b/>
        </w:rPr>
      </w:pPr>
    </w:p>
    <w:p w14:paraId="46BE6B5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24.04.2017                                        с.Боготол                                           № 13-59</w:t>
      </w:r>
    </w:p>
    <w:p w14:paraId="15174A9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</w:p>
    <w:p w14:paraId="1B3BCD78">
      <w:pPr>
        <w:tabs>
          <w:tab w:val="left" w:pos="10490"/>
        </w:tabs>
        <w:adjustRightInd w:val="0"/>
        <w:ind w:right="-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ОБ УТВЕРЖДЕНИИ ПОРЯДКА ПРИНИЯТИЯ РЕШЕНИЙ ОБ УСЛОВИЯХ ПРИВАТИЗАЦИИ МУНИЦИПАЛЬНОГО ИМУЩЕСТВА</w:t>
      </w:r>
    </w:p>
    <w:p w14:paraId="34776F3D">
      <w:pPr>
        <w:tabs>
          <w:tab w:val="left" w:pos="10490"/>
        </w:tabs>
        <w:adjustRightInd w:val="0"/>
        <w:ind w:right="-1"/>
        <w:jc w:val="center"/>
        <w:rPr>
          <w:rFonts w:hint="default" w:ascii="Arial" w:hAnsi="Arial" w:cs="Arial"/>
          <w:b w:val="0"/>
          <w:bCs w:val="0"/>
          <w:lang w:val="ru-RU"/>
        </w:rPr>
      </w:pPr>
      <w:r>
        <w:rPr>
          <w:rFonts w:hint="default" w:ascii="Arial" w:hAnsi="Arial" w:cs="Arial"/>
          <w:b w:val="0"/>
          <w:bCs w:val="0"/>
          <w:lang w:val="ru-RU"/>
        </w:rPr>
        <w:t>(в ред. Реш. № 40-254 от 23.06.2025)</w:t>
      </w:r>
    </w:p>
    <w:p w14:paraId="50870A32">
      <w:pPr>
        <w:pStyle w:val="9"/>
        <w:ind w:firstLine="567"/>
        <w:jc w:val="both"/>
        <w:rPr>
          <w:rFonts w:ascii="Arial" w:hAnsi="Arial" w:cs="Arial"/>
          <w:sz w:val="24"/>
          <w:szCs w:val="24"/>
        </w:rPr>
      </w:pPr>
    </w:p>
    <w:p w14:paraId="3C2768A8">
      <w:pPr>
        <w:pStyle w:val="9"/>
        <w:ind w:firstLine="709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со статьей 14 Федерального закона от 21.12.2001 № 178-ФЗ «О приватизации государственного и муниципального имущества»,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 w:val="0"/>
          <w:sz w:val="24"/>
          <w:szCs w:val="24"/>
        </w:rPr>
        <w:t>руководствуясь Уставом Боготольского  сельсовета, Боготольский сельский Совет депутатов РЕШИЛ:</w:t>
      </w:r>
    </w:p>
    <w:p w14:paraId="56F80A18">
      <w:pPr>
        <w:pStyle w:val="9"/>
        <w:jc w:val="both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 xml:space="preserve">      1. Утвердить Порядок принятия решений об условиях приватизации муниципального имущества согласно приложению.</w:t>
      </w:r>
    </w:p>
    <w:p w14:paraId="17A9FB49">
      <w:pPr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2. Контроль за исполнением настоящего Решения возложить на постоянную комиссию по финансам, бюджету, налогам и сборам (Кулаженко С.Ф.).</w:t>
      </w:r>
    </w:p>
    <w:p w14:paraId="5E0FA802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3. Опубликовать Решение в общественно-политической газете «Земля боготольская» и разместить на  официальном сайте  Боготольского района </w:t>
      </w:r>
      <w:r>
        <w:fldChar w:fldCharType="begin"/>
      </w:r>
      <w:r>
        <w:instrText xml:space="preserve"> HYPERLINK "http://www.bogotol-" </w:instrText>
      </w:r>
      <w:r>
        <w:fldChar w:fldCharType="separate"/>
      </w:r>
      <w:r>
        <w:rPr>
          <w:rStyle w:val="4"/>
          <w:rFonts w:ascii="Arial" w:hAnsi="Arial" w:cs="Arial"/>
          <w:lang w:val="en-US"/>
        </w:rPr>
        <w:t>www</w:t>
      </w:r>
      <w:r>
        <w:rPr>
          <w:rStyle w:val="4"/>
          <w:rFonts w:ascii="Arial" w:hAnsi="Arial" w:cs="Arial"/>
        </w:rPr>
        <w:t>.</w:t>
      </w:r>
      <w:r>
        <w:rPr>
          <w:rStyle w:val="4"/>
          <w:rFonts w:ascii="Arial" w:hAnsi="Arial" w:cs="Arial"/>
          <w:lang w:val="en-US"/>
        </w:rPr>
        <w:t>bogotol</w:t>
      </w:r>
      <w:r>
        <w:rPr>
          <w:rStyle w:val="4"/>
          <w:rFonts w:ascii="Arial" w:hAnsi="Arial" w:cs="Arial"/>
        </w:rPr>
        <w:t>-</w:t>
      </w:r>
      <w:r>
        <w:rPr>
          <w:rStyle w:val="4"/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  <w:lang w:val="en-US"/>
        </w:rPr>
        <w:t>r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ru</w:t>
      </w:r>
      <w:r>
        <w:rPr>
          <w:rFonts w:ascii="Arial" w:hAnsi="Arial" w:cs="Arial"/>
        </w:rPr>
        <w:t>. на странице Боготольского сельсовета.</w:t>
      </w:r>
    </w:p>
    <w:p w14:paraId="0654B05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7. Решение вступает в силу  в день, следующий за днем его официального опубликования в общественно-политической газете «Земля боготольская».</w:t>
      </w:r>
    </w:p>
    <w:p w14:paraId="4259196D">
      <w:pPr>
        <w:pStyle w:val="8"/>
        <w:ind w:left="1713"/>
        <w:rPr>
          <w:rFonts w:ascii="Arial" w:hAnsi="Arial" w:cs="Arial"/>
          <w:b/>
          <w:i/>
        </w:rPr>
      </w:pPr>
    </w:p>
    <w:p w14:paraId="5E248825">
      <w:pPr>
        <w:pStyle w:val="8"/>
        <w:ind w:left="1713"/>
        <w:rPr>
          <w:rFonts w:ascii="Arial" w:hAnsi="Arial" w:cs="Arial"/>
        </w:rPr>
      </w:pPr>
    </w:p>
    <w:p w14:paraId="6B2A436D">
      <w:pPr>
        <w:pStyle w:val="8"/>
        <w:ind w:left="709" w:hanging="709"/>
        <w:rPr>
          <w:rFonts w:ascii="Arial" w:hAnsi="Arial" w:cs="Arial"/>
        </w:rPr>
      </w:pPr>
      <w:r>
        <w:rPr>
          <w:rFonts w:ascii="Arial" w:hAnsi="Arial" w:cs="Arial"/>
        </w:rPr>
        <w:t xml:space="preserve">Председатель Боготольского                            Глава Боготольского              </w:t>
      </w:r>
    </w:p>
    <w:p w14:paraId="6F63F013">
      <w:pPr>
        <w:pStyle w:val="8"/>
        <w:ind w:left="1713" w:hanging="1713"/>
        <w:rPr>
          <w:rFonts w:ascii="Arial" w:hAnsi="Arial" w:cs="Arial"/>
        </w:rPr>
      </w:pPr>
      <w:r>
        <w:rPr>
          <w:rFonts w:ascii="Arial" w:hAnsi="Arial" w:cs="Arial"/>
        </w:rPr>
        <w:t>сельского Совета депутатов                              сельсовета</w:t>
      </w:r>
    </w:p>
    <w:p w14:paraId="23E5F5A5">
      <w:pPr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>_____________ И.Н.Тихонова                           _____________С.А.Филиппов</w:t>
      </w:r>
    </w:p>
    <w:p w14:paraId="6EA07C47">
      <w:pPr>
        <w:ind w:left="993" w:hanging="993"/>
        <w:rPr>
          <w:rFonts w:ascii="Arial" w:hAnsi="Arial" w:cs="Arial"/>
        </w:rPr>
      </w:pPr>
    </w:p>
    <w:p w14:paraId="19B396F2">
      <w:pPr>
        <w:ind w:left="993" w:hanging="993"/>
        <w:rPr>
          <w:rFonts w:ascii="Arial" w:hAnsi="Arial" w:cs="Arial"/>
        </w:rPr>
      </w:pPr>
    </w:p>
    <w:p w14:paraId="15EEEAF3">
      <w:pPr>
        <w:ind w:left="993" w:hanging="993"/>
        <w:rPr>
          <w:rFonts w:ascii="Arial" w:hAnsi="Arial" w:cs="Arial"/>
        </w:rPr>
      </w:pPr>
    </w:p>
    <w:p w14:paraId="16DF56EF">
      <w:pPr>
        <w:ind w:left="993" w:hanging="993"/>
        <w:rPr>
          <w:rFonts w:ascii="Arial" w:hAnsi="Arial" w:cs="Arial"/>
        </w:rPr>
      </w:pPr>
    </w:p>
    <w:p w14:paraId="704CD228">
      <w:pPr>
        <w:ind w:left="993" w:hanging="993"/>
        <w:rPr>
          <w:rFonts w:ascii="Arial" w:hAnsi="Arial" w:cs="Arial"/>
        </w:rPr>
      </w:pPr>
    </w:p>
    <w:p w14:paraId="2E96CD50">
      <w:pPr>
        <w:ind w:left="993" w:hanging="993"/>
        <w:rPr>
          <w:rFonts w:ascii="Arial" w:hAnsi="Arial" w:cs="Arial"/>
        </w:rPr>
      </w:pPr>
    </w:p>
    <w:p w14:paraId="0DC3586D">
      <w:pPr>
        <w:ind w:left="993" w:hanging="993"/>
        <w:rPr>
          <w:rFonts w:ascii="Arial" w:hAnsi="Arial" w:cs="Arial"/>
        </w:rPr>
      </w:pPr>
    </w:p>
    <w:p w14:paraId="4E10A6C7">
      <w:pPr>
        <w:ind w:left="993" w:hanging="993"/>
        <w:rPr>
          <w:rFonts w:ascii="Arial" w:hAnsi="Arial" w:cs="Arial"/>
        </w:rPr>
      </w:pPr>
    </w:p>
    <w:p w14:paraId="6650C7D3">
      <w:pPr>
        <w:ind w:left="993" w:hanging="993"/>
        <w:rPr>
          <w:rFonts w:ascii="Arial" w:hAnsi="Arial" w:cs="Arial"/>
        </w:rPr>
      </w:pPr>
    </w:p>
    <w:p w14:paraId="7D5C521B">
      <w:pPr>
        <w:ind w:left="993" w:hanging="993"/>
        <w:rPr>
          <w:rFonts w:ascii="Arial" w:hAnsi="Arial" w:cs="Arial"/>
        </w:rPr>
      </w:pPr>
    </w:p>
    <w:p w14:paraId="3A0407F6">
      <w:pPr>
        <w:ind w:left="993" w:hanging="993"/>
        <w:rPr>
          <w:rFonts w:ascii="Arial" w:hAnsi="Arial" w:cs="Arial"/>
        </w:rPr>
      </w:pPr>
    </w:p>
    <w:p w14:paraId="548AA029">
      <w:pPr>
        <w:ind w:left="993" w:hanging="993"/>
        <w:rPr>
          <w:rFonts w:ascii="Arial" w:hAnsi="Arial" w:cs="Arial"/>
        </w:rPr>
      </w:pPr>
    </w:p>
    <w:p w14:paraId="58F75086">
      <w:pPr>
        <w:ind w:left="993" w:hanging="993"/>
        <w:rPr>
          <w:rFonts w:ascii="Arial" w:hAnsi="Arial" w:cs="Arial"/>
        </w:rPr>
      </w:pPr>
    </w:p>
    <w:p w14:paraId="28D016F7">
      <w:pPr>
        <w:ind w:left="993" w:hanging="993"/>
        <w:rPr>
          <w:rFonts w:ascii="Arial" w:hAnsi="Arial" w:cs="Arial"/>
        </w:rPr>
      </w:pPr>
    </w:p>
    <w:p w14:paraId="44024015">
      <w:pPr>
        <w:ind w:left="993" w:hanging="993"/>
        <w:rPr>
          <w:rFonts w:ascii="Arial" w:hAnsi="Arial" w:cs="Arial"/>
        </w:rPr>
      </w:pPr>
    </w:p>
    <w:p w14:paraId="4E4CD9CB">
      <w:pPr>
        <w:ind w:left="993" w:hanging="993"/>
        <w:rPr>
          <w:rFonts w:ascii="Arial" w:hAnsi="Arial" w:cs="Arial"/>
        </w:rPr>
      </w:pPr>
    </w:p>
    <w:p w14:paraId="04249905">
      <w:pPr>
        <w:ind w:left="993" w:hanging="993"/>
        <w:rPr>
          <w:rFonts w:ascii="Arial" w:hAnsi="Arial" w:cs="Arial"/>
        </w:rPr>
      </w:pPr>
    </w:p>
    <w:p w14:paraId="2B468956">
      <w:pPr>
        <w:ind w:left="993" w:hanging="993"/>
        <w:rPr>
          <w:rFonts w:ascii="Arial" w:hAnsi="Arial" w:cs="Arial"/>
        </w:rPr>
      </w:pPr>
    </w:p>
    <w:p w14:paraId="6577B3AA">
      <w:pPr>
        <w:ind w:left="993" w:hanging="993"/>
        <w:rPr>
          <w:rFonts w:ascii="Arial" w:hAnsi="Arial" w:cs="Arial"/>
        </w:rPr>
      </w:pPr>
    </w:p>
    <w:p w14:paraId="65006A04">
      <w:pPr>
        <w:ind w:left="993" w:hanging="993"/>
        <w:rPr>
          <w:rFonts w:ascii="Arial" w:hAnsi="Arial" w:cs="Arial"/>
        </w:rPr>
      </w:pPr>
    </w:p>
    <w:p w14:paraId="3EF3C966">
      <w:pPr>
        <w:ind w:left="993"/>
        <w:rPr>
          <w:rFonts w:ascii="Arial" w:hAnsi="Arial" w:cs="Arial"/>
        </w:rPr>
      </w:pPr>
    </w:p>
    <w:p w14:paraId="70A3A134">
      <w:pPr>
        <w:ind w:left="4956" w:right="282" w:firstLine="708"/>
        <w:rPr>
          <w:rFonts w:ascii="Arial" w:hAnsi="Arial" w:cs="Arial"/>
          <w:bCs/>
          <w:iCs/>
        </w:rPr>
      </w:pPr>
      <w:r>
        <w:rPr>
          <w:rFonts w:ascii="Arial" w:hAnsi="Arial" w:cs="Arial"/>
          <w:bCs/>
          <w:iCs/>
        </w:rPr>
        <w:t xml:space="preserve">Приложение </w:t>
      </w:r>
      <w:r>
        <w:rPr>
          <w:rFonts w:ascii="Arial" w:hAnsi="Arial" w:cs="Arial"/>
        </w:rPr>
        <w:t>к Решению</w:t>
      </w:r>
    </w:p>
    <w:p w14:paraId="09456F5A">
      <w:pPr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Боготольского сельского Совета депутатов </w:t>
      </w:r>
    </w:p>
    <w:p w14:paraId="08E9E274">
      <w:pPr>
        <w:ind w:left="4956" w:firstLine="708"/>
        <w:rPr>
          <w:rFonts w:ascii="Arial" w:hAnsi="Arial" w:cs="Arial"/>
        </w:rPr>
      </w:pPr>
      <w:r>
        <w:rPr>
          <w:rFonts w:ascii="Arial" w:hAnsi="Arial" w:cs="Arial"/>
        </w:rPr>
        <w:t>от 24.04.2017г. № 13-59</w:t>
      </w:r>
    </w:p>
    <w:p w14:paraId="76CAEAA0">
      <w:pPr>
        <w:ind w:left="5518" w:leftChars="2299" w:firstLine="223" w:firstLineChars="93"/>
        <w:rPr>
          <w:rFonts w:hint="default" w:ascii="Arial" w:hAnsi="Arial" w:cs="Arial"/>
          <w:lang w:val="ru-RU"/>
        </w:rPr>
      </w:pPr>
      <w:r>
        <w:rPr>
          <w:rFonts w:hint="default" w:ascii="Arial" w:hAnsi="Arial" w:cs="Arial"/>
          <w:lang w:val="ru-RU"/>
        </w:rPr>
        <w:t>(в ред. Реш. № 4254 от 23.06.2025)</w:t>
      </w:r>
    </w:p>
    <w:p w14:paraId="785CAFE2">
      <w:pPr>
        <w:pStyle w:val="6"/>
        <w:jc w:val="both"/>
        <w:rPr>
          <w:sz w:val="24"/>
          <w:szCs w:val="24"/>
        </w:rPr>
      </w:pPr>
    </w:p>
    <w:p w14:paraId="2B5C2D30">
      <w:pPr>
        <w:pStyle w:val="6"/>
        <w:jc w:val="both"/>
        <w:rPr>
          <w:sz w:val="24"/>
          <w:szCs w:val="24"/>
        </w:rPr>
      </w:pPr>
    </w:p>
    <w:p w14:paraId="4F339C8E">
      <w:pPr>
        <w:pStyle w:val="9"/>
        <w:jc w:val="center"/>
        <w:rPr>
          <w:rFonts w:ascii="Arial" w:hAnsi="Arial" w:cs="Arial"/>
          <w:sz w:val="24"/>
          <w:szCs w:val="24"/>
        </w:rPr>
      </w:pPr>
      <w:bookmarkStart w:id="0" w:name="P41"/>
      <w:bookmarkEnd w:id="0"/>
      <w:r>
        <w:rPr>
          <w:rFonts w:ascii="Arial" w:hAnsi="Arial" w:cs="Arial"/>
          <w:sz w:val="24"/>
          <w:szCs w:val="24"/>
        </w:rPr>
        <w:t>ПОРЯДОК</w:t>
      </w:r>
    </w:p>
    <w:p w14:paraId="2716E114">
      <w:pPr>
        <w:pStyle w:val="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принятия решений об условиях приватизации муниципального имущества</w:t>
      </w:r>
    </w:p>
    <w:p w14:paraId="4E9D2858">
      <w:pPr>
        <w:pStyle w:val="6"/>
        <w:jc w:val="center"/>
        <w:rPr>
          <w:sz w:val="24"/>
          <w:szCs w:val="24"/>
        </w:rPr>
      </w:pPr>
    </w:p>
    <w:p w14:paraId="5B07B20D">
      <w:pPr>
        <w:pStyle w:val="6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положения</w:t>
      </w:r>
    </w:p>
    <w:p w14:paraId="45BCFC14">
      <w:pPr>
        <w:pStyle w:val="6"/>
        <w:jc w:val="both"/>
        <w:rPr>
          <w:sz w:val="24"/>
          <w:szCs w:val="24"/>
        </w:rPr>
      </w:pPr>
    </w:p>
    <w:p w14:paraId="5A8E9854">
      <w:pPr>
        <w:pStyle w:val="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Настоящий Порядок принятия решений об условиях приватизации муниципального имущества Боготольского сельсовета (далее - Порядок) разработан 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Федеральным законом от 06.10.2003 № 131-ФЗ «Об общих принципах организации местного самоуправления в Российской Федерации» и устанавливает порядок принятия органами местного самоуправления Боготольского сельсовета решений об условиях приватизации муниципального имущества. </w:t>
      </w:r>
    </w:p>
    <w:p w14:paraId="2E640614">
      <w:pPr>
        <w:pStyle w:val="6"/>
        <w:ind w:firstLine="709"/>
        <w:jc w:val="both"/>
        <w:rPr>
          <w:sz w:val="24"/>
          <w:szCs w:val="24"/>
        </w:rPr>
      </w:pPr>
    </w:p>
    <w:p w14:paraId="4F6A0449">
      <w:pPr>
        <w:pStyle w:val="6"/>
        <w:ind w:firstLine="709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Порядок принятия решений об условиях приватизации муниципального имущества</w:t>
      </w:r>
    </w:p>
    <w:p w14:paraId="10BB799B">
      <w:pPr>
        <w:pStyle w:val="6"/>
        <w:ind w:firstLine="709"/>
        <w:jc w:val="center"/>
        <w:rPr>
          <w:sz w:val="24"/>
          <w:szCs w:val="24"/>
        </w:rPr>
      </w:pPr>
    </w:p>
    <w:p w14:paraId="4CF7FAE2">
      <w:pPr>
        <w:pStyle w:val="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Решения об условиях приватизации муниципального имущества подготавливаются и принимаются в сроки, позволяющие обеспечить его приватизацию в соответствии с прогнозным планом (программой) приватизации муниципального имущества.</w:t>
      </w:r>
    </w:p>
    <w:p w14:paraId="4A6811F9">
      <w:pPr>
        <w:pStyle w:val="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Решение об условиях приватизации муниципального имущества оформляется Постановлением Администрации Боготольского сельсовета.</w:t>
      </w:r>
    </w:p>
    <w:p w14:paraId="37CF86D8">
      <w:pPr>
        <w:pStyle w:val="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В решении об условиях приватизации муниципального имущества должны содержаться следующие сведения:</w:t>
      </w:r>
    </w:p>
    <w:p w14:paraId="7656E9CD">
      <w:pPr>
        <w:pStyle w:val="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3.1. наименование имущества и иные позволяющие его индивидуализировать данные (характеристика имущества);</w:t>
      </w:r>
    </w:p>
    <w:p w14:paraId="53976422">
      <w:pPr>
        <w:pStyle w:val="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3.2. способ приватизации имущества;</w:t>
      </w:r>
    </w:p>
    <w:p w14:paraId="55E6E12E">
      <w:pPr>
        <w:pStyle w:val="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3.3. начальная цена имущества;</w:t>
      </w:r>
    </w:p>
    <w:p w14:paraId="7775B4AF">
      <w:pPr>
        <w:pStyle w:val="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3.4. срок рассрочки платежа (в случае ее предоставления);</w:t>
      </w:r>
    </w:p>
    <w:p w14:paraId="0FCEFAA0">
      <w:pPr>
        <w:pStyle w:val="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3.5. иные необходимые для приватизации имущества сведения.</w:t>
      </w:r>
    </w:p>
    <w:p w14:paraId="640AF8E7">
      <w:pPr>
        <w:pStyle w:val="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В случае приватизации имущественного комплекса унитарного предприятия решением об условиях приватизации муниципального имущества также утверждается:</w:t>
      </w:r>
    </w:p>
    <w:p w14:paraId="1C069187">
      <w:pPr>
        <w:pStyle w:val="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состав подлежащего приватизации имущественного комплекса унитарного предприятия, определенный в соответствии с Федеральным  законом от 21.12.2001 № 178-ФЗ «О приватизации государственного и муниципального имущества»;</w:t>
      </w:r>
    </w:p>
    <w:p w14:paraId="3CBA2219">
      <w:pPr>
        <w:pStyle w:val="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перечень объектов (в том числе исключительных прав), не подлежащих приватизации в составе имущественного комплекса унитарного предприятия;</w:t>
      </w:r>
    </w:p>
    <w:p w14:paraId="16CAD5E5">
      <w:pPr>
        <w:pStyle w:val="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размер уставного капитала акционерного общества или общества с ограниченной ответственностью, создаваемых посредством преобразования унитарного предприятия;</w:t>
      </w:r>
    </w:p>
    <w:p w14:paraId="10A99E6A">
      <w:pPr>
        <w:pStyle w:val="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количество, категории и номинальная стоимость акций акционерного общества или номинальная стоимость доли участника общества с ограниченной ответственностью - муниципального образования.</w:t>
      </w:r>
    </w:p>
    <w:p w14:paraId="6BE73362">
      <w:pPr>
        <w:pStyle w:val="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 Со дня утверждения прогнозного плана (программы) приватизации муниципального имущества и до дня государственной регистрации созданного хозяйственного общества унитарное предприятие без согласия собственника его имущества не вправе:</w:t>
      </w:r>
    </w:p>
    <w:p w14:paraId="664797C9">
      <w:pPr>
        <w:pStyle w:val="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сокращать численность работников указанного унитарного предприятия;</w:t>
      </w:r>
    </w:p>
    <w:p w14:paraId="41368072">
      <w:pPr>
        <w:pStyle w:val="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совершать сделки (несколько взаимосвязанных сделок), цена которых превышает 5 процентов балансовой стоимости активов указанного унитарного предприятия на дату утверждения его последнего балансового отчета или более чем в пятьдесят тысяч раз превышает установленный федеральным законом минимальный размер оплаты труда, а также сделки (несколько взаимосвязанных сделок), связанные с возможностью отчуждения прямо или косвенно имущества, стоимость которого превышает 5 процентов балансовой стоимости активов указанного унитарного предприятия на дату утверждения его последнего балансового отчета или более чем в пятьдесят тысяч раз превышает установленный федеральным законом минимальный размер оплаты труда;</w:t>
      </w:r>
    </w:p>
    <w:p w14:paraId="147AA462">
      <w:pPr>
        <w:pStyle w:val="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получать кредиты;</w:t>
      </w:r>
    </w:p>
    <w:p w14:paraId="5E475A77">
      <w:pPr>
        <w:pStyle w:val="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осуществлять выпуск ценных бумаг;</w:t>
      </w:r>
    </w:p>
    <w:p w14:paraId="6CC02D8F">
      <w:pPr>
        <w:pStyle w:val="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выступать учредителем хозяйственных товариществ или обществ, а также приобретать и отчуждать акции (доли) в уставном (складочном) капитале хозяйственных товариществ или обществ.</w:t>
      </w:r>
    </w:p>
    <w:p w14:paraId="13C52838">
      <w:pPr>
        <w:pStyle w:val="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Одновременно с принятием решения об условиях приватизации  муниципального имущества принимается решение об установлении обременения, в том числе публичного сервитута. </w:t>
      </w:r>
    </w:p>
    <w:p w14:paraId="2A470340">
      <w:pPr>
        <w:pStyle w:val="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Обременение, в том числе публичный сервитут, в случаях, если об их установлении принято соответствующее решение, является существенным условием сделки приватизации. Сведения об установлении обременения, в том числе публичного сервитута, должны быть указаны в информационном сообщении о приватизации государственного или муниципального имущества.</w:t>
      </w:r>
    </w:p>
    <w:p w14:paraId="370CC592">
      <w:pPr>
        <w:pStyle w:val="1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7</w:t>
      </w:r>
      <w:r>
        <w:rPr>
          <w:sz w:val="24"/>
          <w:szCs w:val="24"/>
        </w:rPr>
        <w:t>.</w:t>
      </w:r>
      <w:r>
        <w:rPr>
          <w:rFonts w:ascii="Times New Roman" w:hAnsi="Times New Roman"/>
          <w:sz w:val="28"/>
          <w:szCs w:val="28"/>
        </w:rPr>
        <w:t>Решения об условиях приватизации муниципального имущества подлежат размещению в открытом доступе на официальном сайте в сети «Интернет» в течение десяти дней со дня принятия этих решений, за исключением решений об условиях приватизации муниципального имущества, которая осуществляется способами, предусмотренными подпунктами 1, 1.1, 5, 9 и 10 пункта 1 статьи 13 Федерального закона от 21.12.2001 № 178-ФЗ «О приватизации государственного и муниципального имущества».</w:t>
      </w:r>
    </w:p>
    <w:p w14:paraId="76794CB0">
      <w:pPr>
        <w:pStyle w:val="1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информации о результатах сделок приватизации муниципального имущества, подлежащей размещению в порядке, установленном пунктом 10 настоящей статьи, относятся следующие сведения:</w:t>
      </w:r>
    </w:p>
    <w:p w14:paraId="5C43B2C9">
      <w:pPr>
        <w:pStyle w:val="1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наименование продавца такого имущества;</w:t>
      </w:r>
    </w:p>
    <w:p w14:paraId="34AC85E7">
      <w:pPr>
        <w:pStyle w:val="1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наименование такого имущества и иные позволяющие его индивидуализировать сведения (характеристика имущества);</w:t>
      </w:r>
    </w:p>
    <w:p w14:paraId="2FC1423D">
      <w:pPr>
        <w:pStyle w:val="1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дата, время и место проведения торгов;</w:t>
      </w:r>
    </w:p>
    <w:p w14:paraId="3FB1EC40">
      <w:pPr>
        <w:pStyle w:val="1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цена сделки приватизации;</w:t>
      </w:r>
    </w:p>
    <w:p w14:paraId="38790A7D">
      <w:pPr>
        <w:pStyle w:val="1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имя физического лица или наименование юридического лица - участника продажи, который предложил наиболее высокую цену за такое имущество по сравнению с предложениями других участников продажи, или участника продажи, который подал предпоследнее предложение о цене такого имущества в ходе продажи;</w:t>
      </w:r>
    </w:p>
    <w:p w14:paraId="17B0C531">
      <w:pPr>
        <w:pStyle w:val="1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 имя физического лица или наименование юридического лица - победителя торгов, лица, признанного единственным участником аукциона, в случае, установленном в абзаце втором пункта 3 статьи 18 Федерального закона от 21.12.2001 № 178-ФЗ «О приватизации государственного и муниципального имущества», лица, признанного единственным участником продажи муниципального имущества по минимально допустимой цене, в случае, установленном абзацем вторым пункта 4 статьи 24 Федерального закона от 21.12.2001 № 178-ФЗ «О приватизации государственного и муниципального имущества».</w:t>
      </w:r>
    </w:p>
    <w:p w14:paraId="240EECA4">
      <w:pPr>
        <w:ind w:left="0" w:leftChars="0" w:firstLine="720" w:firstLineChars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Информация о результатах сделок приватизации муниципального имущества подлежит размещению на официальном сайте в сети «Интернет» в течение десяти дней со дня совершения указанных сделок.</w:t>
      </w:r>
    </w:p>
    <w:p w14:paraId="7B719260">
      <w:pPr>
        <w:ind w:left="0" w:leftChars="0" w:firstLine="720" w:firstLineChars="0"/>
        <w:jc w:val="both"/>
        <w:rPr>
          <w:rFonts w:hint="default" w:ascii="Times New Roman" w:hAnsi="Times New Roman"/>
          <w:sz w:val="28"/>
          <w:szCs w:val="28"/>
          <w:lang w:val="ru-RU"/>
        </w:rPr>
      </w:pPr>
      <w:r>
        <w:rPr>
          <w:rFonts w:hint="default"/>
          <w:sz w:val="28"/>
          <w:szCs w:val="28"/>
          <w:lang w:val="ru-RU"/>
        </w:rPr>
        <w:t>(пункт 7 в ред. Реш. От 23.06.2025)</w:t>
      </w:r>
      <w:bookmarkStart w:id="1" w:name="_GoBack"/>
      <w:bookmarkEnd w:id="1"/>
    </w:p>
    <w:p w14:paraId="740BE309">
      <w:pPr>
        <w:jc w:val="both"/>
        <w:rPr>
          <w:rFonts w:ascii="Arial" w:hAnsi="Arial" w:cs="Arial"/>
        </w:rPr>
      </w:pPr>
    </w:p>
    <w:p w14:paraId="37AC1DB0">
      <w:pPr>
        <w:tabs>
          <w:tab w:val="left" w:pos="0"/>
        </w:tabs>
        <w:jc w:val="both"/>
        <w:rPr>
          <w:rFonts w:ascii="Arial" w:hAnsi="Arial" w:cs="Arial"/>
        </w:rPr>
      </w:pPr>
    </w:p>
    <w:p w14:paraId="1A1BF0B3">
      <w:pPr>
        <w:tabs>
          <w:tab w:val="left" w:pos="0"/>
        </w:tabs>
        <w:jc w:val="both"/>
        <w:rPr>
          <w:rFonts w:ascii="Arial" w:hAnsi="Arial" w:cs="Arial"/>
        </w:rPr>
      </w:pPr>
    </w:p>
    <w:p w14:paraId="53F9C9A2">
      <w:pPr>
        <w:tabs>
          <w:tab w:val="left" w:pos="0"/>
        </w:tabs>
        <w:jc w:val="both"/>
        <w:rPr>
          <w:rFonts w:ascii="Arial" w:hAnsi="Arial" w:cs="Arial"/>
        </w:rPr>
      </w:pPr>
    </w:p>
    <w:p w14:paraId="5399FA83">
      <w:pPr>
        <w:tabs>
          <w:tab w:val="left" w:pos="0"/>
        </w:tabs>
        <w:jc w:val="both"/>
        <w:rPr>
          <w:rFonts w:ascii="Arial" w:hAnsi="Arial" w:cs="Arial"/>
        </w:rPr>
      </w:pPr>
    </w:p>
    <w:p w14:paraId="39CBEBA6">
      <w:pPr>
        <w:tabs>
          <w:tab w:val="left" w:pos="0"/>
        </w:tabs>
        <w:jc w:val="both"/>
        <w:rPr>
          <w:rFonts w:ascii="Arial" w:hAnsi="Arial" w:cs="Arial"/>
        </w:rPr>
      </w:pPr>
    </w:p>
    <w:p w14:paraId="198A0034">
      <w:pPr>
        <w:tabs>
          <w:tab w:val="left" w:pos="0"/>
        </w:tabs>
        <w:jc w:val="both"/>
        <w:rPr>
          <w:rFonts w:ascii="Arial" w:hAnsi="Arial" w:cs="Arial"/>
        </w:rPr>
      </w:pPr>
    </w:p>
    <w:p w14:paraId="427316C4">
      <w:pPr>
        <w:tabs>
          <w:tab w:val="left" w:pos="0"/>
        </w:tabs>
        <w:jc w:val="both"/>
        <w:rPr>
          <w:rFonts w:ascii="Arial" w:hAnsi="Arial" w:cs="Arial"/>
        </w:rPr>
      </w:pPr>
    </w:p>
    <w:p w14:paraId="534FAEF0">
      <w:pPr>
        <w:tabs>
          <w:tab w:val="left" w:pos="0"/>
        </w:tabs>
        <w:jc w:val="both"/>
        <w:rPr>
          <w:rFonts w:ascii="Arial" w:hAnsi="Arial" w:cs="Arial"/>
        </w:rPr>
      </w:pPr>
    </w:p>
    <w:p w14:paraId="60B7E03D">
      <w:pPr>
        <w:ind w:firstLine="705"/>
        <w:jc w:val="both"/>
        <w:rPr>
          <w:rFonts w:ascii="Arial" w:hAnsi="Arial" w:cs="Arial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4B5"/>
    <w:rsid w:val="0003648F"/>
    <w:rsid w:val="00062CF4"/>
    <w:rsid w:val="00065173"/>
    <w:rsid w:val="00073629"/>
    <w:rsid w:val="000B162E"/>
    <w:rsid w:val="000B2FCE"/>
    <w:rsid w:val="000B47B6"/>
    <w:rsid w:val="000B6295"/>
    <w:rsid w:val="000F011A"/>
    <w:rsid w:val="001202BB"/>
    <w:rsid w:val="001262D3"/>
    <w:rsid w:val="0013174E"/>
    <w:rsid w:val="001335E0"/>
    <w:rsid w:val="00143B08"/>
    <w:rsid w:val="00150172"/>
    <w:rsid w:val="001521E4"/>
    <w:rsid w:val="00162FF0"/>
    <w:rsid w:val="00171F02"/>
    <w:rsid w:val="001D53B7"/>
    <w:rsid w:val="00237224"/>
    <w:rsid w:val="00246EB6"/>
    <w:rsid w:val="00266C0B"/>
    <w:rsid w:val="002735FC"/>
    <w:rsid w:val="00285F44"/>
    <w:rsid w:val="002A3B62"/>
    <w:rsid w:val="002A5493"/>
    <w:rsid w:val="002E3097"/>
    <w:rsid w:val="002E4850"/>
    <w:rsid w:val="002F3F31"/>
    <w:rsid w:val="003036C3"/>
    <w:rsid w:val="00307851"/>
    <w:rsid w:val="0033301C"/>
    <w:rsid w:val="003378AD"/>
    <w:rsid w:val="0034040C"/>
    <w:rsid w:val="003412B4"/>
    <w:rsid w:val="003643AB"/>
    <w:rsid w:val="0038785E"/>
    <w:rsid w:val="00387B7F"/>
    <w:rsid w:val="003B24B4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54378"/>
    <w:rsid w:val="00473E87"/>
    <w:rsid w:val="0047649F"/>
    <w:rsid w:val="004839DB"/>
    <w:rsid w:val="004A2FBD"/>
    <w:rsid w:val="004B5869"/>
    <w:rsid w:val="004C0026"/>
    <w:rsid w:val="004E7A53"/>
    <w:rsid w:val="004F7BCF"/>
    <w:rsid w:val="005223BF"/>
    <w:rsid w:val="00553034"/>
    <w:rsid w:val="005535D6"/>
    <w:rsid w:val="005566C5"/>
    <w:rsid w:val="00562E32"/>
    <w:rsid w:val="005B31CC"/>
    <w:rsid w:val="005E41E5"/>
    <w:rsid w:val="005F12A8"/>
    <w:rsid w:val="00601A37"/>
    <w:rsid w:val="00614514"/>
    <w:rsid w:val="00622777"/>
    <w:rsid w:val="00627D11"/>
    <w:rsid w:val="00633830"/>
    <w:rsid w:val="00680A89"/>
    <w:rsid w:val="00685417"/>
    <w:rsid w:val="0069082A"/>
    <w:rsid w:val="00693E6D"/>
    <w:rsid w:val="006B215F"/>
    <w:rsid w:val="006B279D"/>
    <w:rsid w:val="006B3BD8"/>
    <w:rsid w:val="006B598A"/>
    <w:rsid w:val="006C6844"/>
    <w:rsid w:val="00702F5A"/>
    <w:rsid w:val="007030A7"/>
    <w:rsid w:val="0076512A"/>
    <w:rsid w:val="00785AD5"/>
    <w:rsid w:val="0079393B"/>
    <w:rsid w:val="007A4F26"/>
    <w:rsid w:val="007B2D29"/>
    <w:rsid w:val="007B30C4"/>
    <w:rsid w:val="007C6608"/>
    <w:rsid w:val="007E3AA4"/>
    <w:rsid w:val="00805B5A"/>
    <w:rsid w:val="00805D9E"/>
    <w:rsid w:val="008155FE"/>
    <w:rsid w:val="00823C84"/>
    <w:rsid w:val="0084382C"/>
    <w:rsid w:val="00860365"/>
    <w:rsid w:val="00883127"/>
    <w:rsid w:val="008E17CB"/>
    <w:rsid w:val="00912CE2"/>
    <w:rsid w:val="00961504"/>
    <w:rsid w:val="00993875"/>
    <w:rsid w:val="009F54B5"/>
    <w:rsid w:val="00A063AF"/>
    <w:rsid w:val="00A533EA"/>
    <w:rsid w:val="00A623D1"/>
    <w:rsid w:val="00A82A1B"/>
    <w:rsid w:val="00AA57A5"/>
    <w:rsid w:val="00B058DD"/>
    <w:rsid w:val="00B143C4"/>
    <w:rsid w:val="00B26BE9"/>
    <w:rsid w:val="00B36B58"/>
    <w:rsid w:val="00B63D90"/>
    <w:rsid w:val="00B82713"/>
    <w:rsid w:val="00BA4156"/>
    <w:rsid w:val="00BC1CED"/>
    <w:rsid w:val="00BD0AAB"/>
    <w:rsid w:val="00BD1457"/>
    <w:rsid w:val="00BE6026"/>
    <w:rsid w:val="00C16F05"/>
    <w:rsid w:val="00CB2EC3"/>
    <w:rsid w:val="00D2653C"/>
    <w:rsid w:val="00D33159"/>
    <w:rsid w:val="00D54302"/>
    <w:rsid w:val="00D7546A"/>
    <w:rsid w:val="00D7647D"/>
    <w:rsid w:val="00D85543"/>
    <w:rsid w:val="00DA5E5F"/>
    <w:rsid w:val="00DB3A17"/>
    <w:rsid w:val="00DC56A3"/>
    <w:rsid w:val="00DD1F9F"/>
    <w:rsid w:val="00DD72E1"/>
    <w:rsid w:val="00DF31F6"/>
    <w:rsid w:val="00DF7E55"/>
    <w:rsid w:val="00E9206D"/>
    <w:rsid w:val="00E92272"/>
    <w:rsid w:val="00EA2E0D"/>
    <w:rsid w:val="00EB689C"/>
    <w:rsid w:val="00EB7B75"/>
    <w:rsid w:val="00EF56B0"/>
    <w:rsid w:val="00F17A4C"/>
    <w:rsid w:val="00F34958"/>
    <w:rsid w:val="00F531A5"/>
    <w:rsid w:val="00F71BD5"/>
    <w:rsid w:val="00F90ADF"/>
    <w:rsid w:val="00FB64B1"/>
    <w:rsid w:val="00FD5AD1"/>
    <w:rsid w:val="00FD6F2C"/>
    <w:rsid w:val="7A71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0"/>
    <w:rPr>
      <w:color w:val="0000FF"/>
      <w:u w:val="single"/>
    </w:rPr>
  </w:style>
  <w:style w:type="paragraph" w:styleId="5">
    <w:name w:val="Balloon Text"/>
    <w:basedOn w:val="1"/>
    <w:link w:val="7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customStyle="1" w:styleId="6">
    <w:name w:val="ConsPlusNormal"/>
    <w:qFormat/>
    <w:uiPriority w:val="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7">
    <w:name w:val="Текст выноски Знак"/>
    <w:basedOn w:val="2"/>
    <w:link w:val="5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paragraph" w:customStyle="1" w:styleId="9">
    <w:name w:val="ConsPlusTitle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eastAsia="Calibri" w:cs="Calibri"/>
      <w:b/>
      <w:sz w:val="22"/>
      <w:szCs w:val="20"/>
      <w:lang w:val="ru-RU" w:eastAsia="ru-RU" w:bidi="ar-SA"/>
    </w:rPr>
  </w:style>
  <w:style w:type="paragraph" w:styleId="10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F0B568-0033-415F-A37F-0AFB174325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4</Pages>
  <Words>888</Words>
  <Characters>5066</Characters>
  <Lines>42</Lines>
  <Paragraphs>11</Paragraphs>
  <TotalTime>1</TotalTime>
  <ScaleCrop>false</ScaleCrop>
  <LinksUpToDate>false</LinksUpToDate>
  <CharactersWithSpaces>5943</CharactersWithSpaces>
  <Application>WPS Office_12.2.0.21546_F1E327BC-269C-435d-A152-05C5408002CA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2015-09-30T01:03:00Z</dcterms:created>
  <dc:creator>User</dc:creator>
  <cp:lastModifiedBy>User</cp:lastModifiedBy>
  <cp:lastPrinted>2017-04-25T02:59:00Z</cp:lastPrinted>
  <dcterms:modified xsi:type="dcterms:W3CDTF">2025-06-30T01:24:28Z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A0880A9463F64E7DA708FFCE71FA5437_12</vt:lpwstr>
  </property>
</Properties>
</file>